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38.png" ContentType="image/png"/>
  <Override PartName="/word/media/rId26.png" ContentType="image/png"/>
  <Override PartName="/word/media/rId42.png" ContentType="image/png"/>
  <Override PartName="/word/media/rId30.png" ContentType="image/png"/>
  <Override PartName="/word/media/rId46.png" ContentType="image/png"/>
  <Override PartName="/word/media/rId22.png" ContentType="image/png"/>
  <Override PartName="/word/media/rId3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02</w:t>
      </w:r>
      <w:r>
        <w:t xml:space="preserve"> </w:t>
      </w:r>
      <w:r>
        <w:t xml:space="preserve">·</w:t>
      </w:r>
      <w:r>
        <w:t xml:space="preserve"> </w:t>
      </w:r>
      <w:r>
        <w:t xml:space="preserve">Introduction</w:t>
      </w:r>
    </w:p>
    <w:bookmarkStart w:id="53" w:name="introduction-cartes"/>
    <w:p>
      <w:pPr>
        <w:pStyle w:val="Titre1"/>
      </w:pPr>
      <w:r>
        <w:t xml:space="preserve">02 · Introduction &amp; Cartes</w:t>
      </w:r>
    </w:p>
    <w:p>
      <w:pPr>
        <w:pStyle w:val="FirstParagraph"/>
      </w:pPr>
      <w:r>
        <w:t xml:space="preserve">I.C.E. a choisi la période 3A 1600-1700 comme époque approximative</w:t>
      </w:r>
      <w:r>
        <w:t xml:space="preserve"> </w:t>
      </w:r>
      <w:r>
        <w:t xml:space="preserve">des produits sur les Terres du Milieu. Cette époque fut choisie pour sa</w:t>
      </w:r>
      <w:r>
        <w:t xml:space="preserve"> </w:t>
      </w:r>
      <w:r>
        <w:t xml:space="preserve">variété d’éléments concernant l’Ouest des Terres du Milieu. Nous avons</w:t>
      </w:r>
      <w:r>
        <w:t xml:space="preserve"> </w:t>
      </w:r>
      <w:r>
        <w:t xml:space="preserve">conscience que l’ère choisie permet des possibilités intéressantes</w:t>
      </w:r>
      <w:r>
        <w:t xml:space="preserve"> </w:t>
      </w:r>
      <w:r>
        <w:t xml:space="preserve">d’aventures tout en recréant quelques-unes des célébrités à leur apogée</w:t>
      </w:r>
      <w:r>
        <w:t xml:space="preserve"> </w:t>
      </w:r>
      <w:r>
        <w:t xml:space="preserve">lors de 3A. En Gondor, les voyageurs peuvent voir la belle cité de Minas</w:t>
      </w:r>
      <w:r>
        <w:t xml:space="preserve"> </w:t>
      </w:r>
      <w:r>
        <w:t xml:space="preserve">Ithil avant qu’elle ne devienne Minas Morgul et, au Nord, des</w:t>
      </w:r>
      <w:r>
        <w:t xml:space="preserve"> </w:t>
      </w:r>
      <w:r>
        <w:t xml:space="preserve">aventuriers peuvent voir la ville de Tharbad ou contempler la beauté de</w:t>
      </w:r>
      <w:r>
        <w:t xml:space="preserve"> </w:t>
      </w:r>
      <w:r>
        <w:t xml:space="preserve">Fornost, le Norbury du Roi. Des joueurs nains peuvent détourner leurs</w:t>
      </w:r>
      <w:r>
        <w:t xml:space="preserve"> </w:t>
      </w:r>
      <w:r>
        <w:t xml:space="preserve">yeux des monuments humains et se promener parmi les splendeurs de</w:t>
      </w:r>
      <w:r>
        <w:t xml:space="preserve"> </w:t>
      </w:r>
      <w:r>
        <w:t xml:space="preserve">Khazad-dûm avant que les Ténèbres ne la recouvrent.</w:t>
      </w:r>
    </w:p>
    <w:p>
      <w:pPr>
        <w:pStyle w:val="Corpsdetexte"/>
      </w:pPr>
      <w:r>
        <w:t xml:space="preserve">L’ère n’est pas totalement étrangère aux familiers des Terres du</w:t>
      </w:r>
      <w:r>
        <w:t xml:space="preserve"> </w:t>
      </w:r>
      <w:r>
        <w:t xml:space="preserve">Milieu au temps de la Guerre de l’Anneau. Les Hobbits ont habité la</w:t>
      </w:r>
      <w:r>
        <w:t xml:space="preserve"> </w:t>
      </w:r>
      <w:r>
        <w:t xml:space="preserve">Comté depuis une centaine d’années et les Coteaux aux Tumulus sont</w:t>
      </w:r>
      <w:r>
        <w:t xml:space="preserve"> </w:t>
      </w:r>
      <w:r>
        <w:t xml:space="preserve">hantés. Un aubergiste nommé Butterbur divertit ses clients dans</w:t>
      </w:r>
      <w:r>
        <w:t xml:space="preserve"> </w:t>
      </w:r>
      <w:r>
        <w:t xml:space="preserve">l’ancienne ville de Bree, ainsi que son père le faisait avant lui.</w:t>
      </w:r>
      <w:r>
        <w:t xml:space="preserve"> </w:t>
      </w:r>
      <w:r>
        <w:t xml:space="preserve">Isengard, cependant, n’est plus occupé par des Magiciens et aucun</w:t>
      </w:r>
      <w:r>
        <w:t xml:space="preserve"> </w:t>
      </w:r>
      <w:r>
        <w:t xml:space="preserve">cavalier de la Marche n’habite le pays de Rohan.</w:t>
      </w:r>
    </w:p>
    <w:p>
      <w:pPr>
        <w:pStyle w:val="Corpsdetexte"/>
      </w:pPr>
      <w:r>
        <w:t xml:space="preserve">Le dépeuplement d’Eriador rappelle le pays au temps de la Guerre de</w:t>
      </w:r>
      <w:r>
        <w:t xml:space="preserve"> </w:t>
      </w:r>
      <w:r>
        <w:t xml:space="preserve">l’Anneau ; la peste en 3A 1636 a vidé beaucoup de villes. Eriador est</w:t>
      </w:r>
      <w:r>
        <w:t xml:space="preserve"> </w:t>
      </w:r>
      <w:r>
        <w:t xml:space="preserve">devenu un no man’s land ne tentant plus aucun aventurier. Le Nord est</w:t>
      </w:r>
      <w:r>
        <w:t xml:space="preserve"> </w:t>
      </w:r>
      <w:r>
        <w:t xml:space="preserve">sous la férule de l’Ombre maléfique d’Angmar, quelque chose en qui on</w:t>
      </w:r>
      <w:r>
        <w:t xml:space="preserve"> </w:t>
      </w:r>
      <w:r>
        <w:t xml:space="preserve">doit toujours compter. A la même époque, il existe la relative sécurité</w:t>
      </w:r>
      <w:r>
        <w:t xml:space="preserve"> </w:t>
      </w:r>
      <w:r>
        <w:t xml:space="preserve">du Royaume Septentrional des Arthedain où se retrancher et qui est une</w:t>
      </w:r>
      <w:r>
        <w:t xml:space="preserve"> </w:t>
      </w:r>
      <w:r>
        <w:t xml:space="preserve">cause à défendre, pour qui le souhaite. Cette ère présente un équilibre</w:t>
      </w:r>
      <w:r>
        <w:t xml:space="preserve"> </w:t>
      </w:r>
      <w:r>
        <w:t xml:space="preserve">harmonieux entre les forces du bien et du mal et entre l’aventure et la</w:t>
      </w:r>
      <w:r>
        <w:t xml:space="preserve"> </w:t>
      </w:r>
      <w:r>
        <w:t xml:space="preserve">sécurité. Les joueurs peuvent combattre des puissances maléfiques, mais</w:t>
      </w:r>
      <w:r>
        <w:t xml:space="preserve"> </w:t>
      </w:r>
      <w:r>
        <w:t xml:space="preserve">ils ne sont pas contraints de le faire ; la chute du Royaume</w:t>
      </w:r>
      <w:r>
        <w:t xml:space="preserve"> </w:t>
      </w:r>
      <w:r>
        <w:t xml:space="preserve">Septentrional aura lieu bien plus tard.</w:t>
      </w:r>
    </w:p>
    <w:p>
      <w:pPr>
        <w:pStyle w:val="Corpsdetexte"/>
      </w:pPr>
      <w:r>
        <w:t xml:space="preserve">Un autre avantage de cette période est qu’elle permet aux joueurs de</w:t>
      </w:r>
      <w:r>
        <w:t xml:space="preserve"> </w:t>
      </w:r>
      <w:r>
        <w:t xml:space="preserve">s’aventurer dans les Terres du Milieu qu’ils connaissent et aiment, sans</w:t>
      </w:r>
      <w:r>
        <w:t xml:space="preserve"> </w:t>
      </w:r>
      <w:r>
        <w:t xml:space="preserve">réellement altérer l’histoire de la Guerre de l’Anneau. Elle donne aussi</w:t>
      </w:r>
      <w:r>
        <w:t xml:space="preserve"> </w:t>
      </w:r>
      <w:r>
        <w:t xml:space="preserve">au Maitre de Jeu l’opportunité de changer l’histoire du Royaume</w:t>
      </w:r>
      <w:r>
        <w:t xml:space="preserve"> </w:t>
      </w:r>
      <w:r>
        <w:t xml:space="preserve">Septentrional s’il le désire ; Arthedain peut résister ou s’effondrer en</w:t>
      </w:r>
      <w:r>
        <w:t xml:space="preserve"> </w:t>
      </w:r>
      <w:r>
        <w:t xml:space="preserve">fonction des actions des Personnages Joueurs.</w:t>
      </w:r>
    </w:p>
    <w:bookmarkStart w:id="20" w:name="contexte"/>
    <w:p>
      <w:pPr>
        <w:pStyle w:val="Titre2"/>
      </w:pPr>
      <w:r>
        <w:t xml:space="preserve">2.1 Contexte</w:t>
      </w:r>
    </w:p>
    <w:p>
      <w:pPr>
        <w:pStyle w:val="FirstParagraph"/>
      </w:pPr>
      <w:r>
        <w:t xml:space="preserve">Elendil et ses héritiers fondèrent 2 royaumes quand ils arrivèrent</w:t>
      </w:r>
      <w:r>
        <w:t xml:space="preserve"> </w:t>
      </w:r>
      <w:r>
        <w:t xml:space="preserve">dans les Terres du Milieu venant de Núménor : Gondor au Sud et Arnor au</w:t>
      </w:r>
      <w:r>
        <w:t xml:space="preserve"> </w:t>
      </w:r>
      <w:r>
        <w:t xml:space="preserve">Nord. C’étaient 2 royaumes justes et prospères au début du 3A. À cette</w:t>
      </w:r>
      <w:r>
        <w:t xml:space="preserve"> </w:t>
      </w:r>
      <w:r>
        <w:t xml:space="preserve">époque, l’histoire des 2 royaumes se sépara en deux ; l’étoile de Condor</w:t>
      </w:r>
      <w:r>
        <w:t xml:space="preserve"> </w:t>
      </w:r>
      <w:r>
        <w:t xml:space="preserve">s’éleva alors que celle d’Arnor tomba dans l’obscurité.</w:t>
      </w:r>
    </w:p>
    <w:p>
      <w:pPr>
        <w:pStyle w:val="Corpsdetexte"/>
      </w:pPr>
      <w:r>
        <w:t xml:space="preserve">Deux forces amenèrent la destruction du Royaume Septentrional. La</w:t>
      </w:r>
      <w:r>
        <w:t xml:space="preserve"> </w:t>
      </w:r>
      <w:r>
        <w:t xml:space="preserve">première fut le déclin des Dúnedain d’Arnor. La deuxième, de loin la</w:t>
      </w:r>
      <w:r>
        <w:t xml:space="preserve"> </w:t>
      </w:r>
      <w:r>
        <w:t xml:space="preserve">plus puissante, fut les Ténèbres qui vinrent du pays d’Angmar. Les</w:t>
      </w:r>
      <w:r>
        <w:t xml:space="preserve"> </w:t>
      </w:r>
      <w:r>
        <w:t xml:space="preserve">hommes d’Amer résistèrent au pouvoir maléfique du Roi-Sorcier pendant</w:t>
      </w:r>
      <w:r>
        <w:t xml:space="preserve"> </w:t>
      </w:r>
      <w:r>
        <w:t xml:space="preserve">six longs siècles, un tribut à la force et à la puissance des Dúnedain</w:t>
      </w:r>
      <w:r>
        <w:t xml:space="preserve"> </w:t>
      </w:r>
      <w:r>
        <w:t xml:space="preserve">du Nord.</w:t>
      </w:r>
    </w:p>
    <w:p>
      <w:pPr>
        <w:pStyle w:val="Corpsdetexte"/>
      </w:pPr>
      <w:r>
        <w:t xml:space="preserve">Arnor a peu souffert comparativement lors de la guerre contre Sauron</w:t>
      </w:r>
      <w:r>
        <w:t xml:space="preserve"> </w:t>
      </w:r>
      <w:r>
        <w:t xml:space="preserve">à la fin du 2A et le royaume a prospéré. Bien que le nombre de Dúnedain</w:t>
      </w:r>
      <w:r>
        <w:t xml:space="preserve"> </w:t>
      </w:r>
      <w:r>
        <w:t xml:space="preserve">ait été réduit, ils étaient encore forts. Le climat d’Arnor était doux</w:t>
      </w:r>
      <w:r>
        <w:t xml:space="preserve"> </w:t>
      </w:r>
      <w:r>
        <w:t xml:space="preserve">et la terre fertile et sans ennemi. Pendant quelques centaines d’années,</w:t>
      </w:r>
      <w:r>
        <w:t xml:space="preserve"> </w:t>
      </w:r>
      <w:r>
        <w:t xml:space="preserve">les affaires se passèrent bien, mais l’air d’Eriador semblait vicié aux</w:t>
      </w:r>
      <w:r>
        <w:t xml:space="preserve"> </w:t>
      </w:r>
      <w:r>
        <w:t xml:space="preserve">descendants de Núménor. Arnor tomba en déclin bien longtemps avant que</w:t>
      </w:r>
      <w:r>
        <w:t xml:space="preserve"> </w:t>
      </w:r>
      <w:r>
        <w:t xml:space="preserve">le pays n’entende parler de l’Ombre d’Angmar. Pour des raisons</w:t>
      </w:r>
      <w:r>
        <w:t xml:space="preserve"> </w:t>
      </w:r>
      <w:r>
        <w:t xml:space="preserve">inconnues, les Dúnedain abandonnèrent leur capitale d’Annúminas sur la</w:t>
      </w:r>
      <w:r>
        <w:t xml:space="preserve"> </w:t>
      </w:r>
      <w:r>
        <w:t xml:space="preserve">rive du lac Evendim et se retirèrent dans leur moins puissante cité</w:t>
      </w:r>
      <w:r>
        <w:t xml:space="preserve"> </w:t>
      </w:r>
      <w:r>
        <w:t xml:space="preserve">forteresse de Fornost.</w:t>
      </w:r>
    </w:p>
    <w:p>
      <w:pPr>
        <w:pStyle w:val="Corpsdetexte"/>
      </w:pPr>
      <w:r>
        <w:t xml:space="preserve">Le royaume d’Arnor était condamné à être « gelé au printemps et brûlé</w:t>
      </w:r>
      <w:r>
        <w:t xml:space="preserve"> </w:t>
      </w:r>
      <w:r>
        <w:t xml:space="preserve">en été ». Les héritiers du royaume ne purent s’entendre plus longtemps</w:t>
      </w:r>
      <w:r>
        <w:t xml:space="preserve"> </w:t>
      </w:r>
      <w:r>
        <w:t xml:space="preserve">pour la succession au trône au neuvième siècle du M. En 3A 861, la force</w:t>
      </w:r>
      <w:r>
        <w:t xml:space="preserve"> </w:t>
      </w:r>
      <w:r>
        <w:t xml:space="preserve">du Royaume Septentrional fut divisée en 3 royaumes : le Cardolan, le</w:t>
      </w:r>
      <w:r>
        <w:t xml:space="preserve"> </w:t>
      </w:r>
      <w:r>
        <w:t xml:space="preserve">Rhudaur et l’Arthedain. La querelle continua ; Rhudaur et Cardolan</w:t>
      </w:r>
      <w:r>
        <w:t xml:space="preserve"> </w:t>
      </w:r>
      <w:r>
        <w:t xml:space="preserve">contestèrent la possession de la tour d’Amon Sûl et de son Palantír.</w:t>
      </w:r>
      <w:r>
        <w:t xml:space="preserve"> </w:t>
      </w:r>
      <w:r>
        <w:t xml:space="preserve">Dans le nord, la surveillance vis-à-vis du mal se relâchait ; les hommes</w:t>
      </w:r>
      <w:r>
        <w:t xml:space="preserve"> </w:t>
      </w:r>
      <w:r>
        <w:t xml:space="preserve">se renfermèrent sur eux-mêmes et ne se préoccupèrent que de leurs</w:t>
      </w:r>
      <w:r>
        <w:t xml:space="preserve"> </w:t>
      </w:r>
      <w:r>
        <w:t xml:space="preserve">propres affaires. Des rumeurs sur le Mal se multipliant dans les</w:t>
      </w:r>
      <w:r>
        <w:t xml:space="preserve"> </w:t>
      </w:r>
      <w:r>
        <w:t xml:space="preserve">montagnes ne les intéressaient pas ; pour Arthedain et Cardolan, les</w:t>
      </w:r>
      <w:r>
        <w:t xml:space="preserve"> </w:t>
      </w:r>
      <w:r>
        <w:t xml:space="preserve">montagnes étaient trop loin. Personne ne prêtait attention à la vallée</w:t>
      </w:r>
      <w:r>
        <w:t xml:space="preserve"> </w:t>
      </w:r>
      <w:r>
        <w:t xml:space="preserve">peu prometteuse située au nord des Monts Brumeux.</w:t>
      </w:r>
    </w:p>
    <w:p>
      <w:pPr>
        <w:pStyle w:val="Corpsdetexte"/>
      </w:pPr>
      <w:r>
        <w:t xml:space="preserve">Le Roi-Sorcier se révéla en Angmar durant le royaume de Malvegil</w:t>
      </w:r>
      <w:r>
        <w:t xml:space="preserve"> </w:t>
      </w:r>
      <w:r>
        <w:t xml:space="preserve">d’Arthedain entre 3A 1272-1349. Les gens apprirent la croissance d’une</w:t>
      </w:r>
      <w:r>
        <w:t xml:space="preserve"> </w:t>
      </w:r>
      <w:r>
        <w:t xml:space="preserve">source de Mal dans les montagnes, mais Angmar fortifiait encore sa</w:t>
      </w:r>
      <w:r>
        <w:t xml:space="preserve"> </w:t>
      </w:r>
      <w:r>
        <w:t xml:space="preserve">puissance. Les Dúnedain ne subirent aucun assaut jusqu’à ce qu’Argeleb,</w:t>
      </w:r>
      <w:r>
        <w:t xml:space="preserve"> </w:t>
      </w:r>
      <w:r>
        <w:t xml:space="preserve">fils de Malvegil, montât sur le trône.</w:t>
      </w:r>
    </w:p>
    <w:p>
      <w:pPr>
        <w:pStyle w:val="Corpsdetexte"/>
      </w:pPr>
      <w:r>
        <w:t xml:space="preserve">Les soixante années suivantes furent sombres pour les Dúnedain du</w:t>
      </w:r>
      <w:r>
        <w:t xml:space="preserve"> </w:t>
      </w:r>
      <w:r>
        <w:t xml:space="preserve">Nord. Les Dúnedain de Rhudaur furent chassés par des Hommes des Collines</w:t>
      </w:r>
      <w:r>
        <w:t xml:space="preserve"> </w:t>
      </w:r>
      <w:r>
        <w:t xml:space="preserve">maléfiques associés à Angmar, et Argeleb fut tué lors de la bataille.</w:t>
      </w:r>
      <w:r>
        <w:t xml:space="preserve"> </w:t>
      </w:r>
      <w:r>
        <w:t xml:space="preserve">Arthedain et Cardolan, réunis, tinrent les Collines du Temps contre</w:t>
      </w:r>
      <w:r>
        <w:t xml:space="preserve"> </w:t>
      </w:r>
      <w:r>
        <w:t xml:space="preserve">Angmar. En 3A 1409, le Roi-Sorcier d’Angmar délivra l’assaut le plus</w:t>
      </w:r>
      <w:r>
        <w:t xml:space="preserve"> </w:t>
      </w:r>
      <w:r>
        <w:t xml:space="preserve">mortel. Amon Sûl fut assiégée et brûlée et les Dúnedain durent fuir vers</w:t>
      </w:r>
      <w:r>
        <w:t xml:space="preserve"> </w:t>
      </w:r>
      <w:r>
        <w:t xml:space="preserve">l’ouest. Cardolan fut dévastée. Les Dúnedain reçurent de l’aide des</w:t>
      </w:r>
      <w:r>
        <w:t xml:space="preserve"> </w:t>
      </w:r>
      <w:r>
        <w:t xml:space="preserve">Elfes des Havres Gris, de Rivendell et de la Lórien. Les armées d’Angmar</w:t>
      </w:r>
      <w:r>
        <w:t xml:space="preserve"> </w:t>
      </w:r>
      <w:r>
        <w:t xml:space="preserve">furent repoussées de Fornost et des Coteaux Septentrionaux et durent se</w:t>
      </w:r>
      <w:r>
        <w:t xml:space="preserve"> </w:t>
      </w:r>
      <w:r>
        <w:t xml:space="preserve">réfugier en Angmar. L’Ombre du Nord fut contenue pour un temps.</w:t>
      </w:r>
    </w:p>
    <w:bookmarkEnd w:id="20"/>
    <w:bookmarkStart w:id="21" w:name="angmar"/>
    <w:p>
      <w:pPr>
        <w:pStyle w:val="Titre2"/>
      </w:pPr>
      <w:r>
        <w:t xml:space="preserve">2.2 Angmar</w:t>
      </w:r>
    </w:p>
    <w:p>
      <w:pPr>
        <w:pStyle w:val="FirstParagraph"/>
      </w:pPr>
      <w:r>
        <w:t xml:space="preserve">La région d’Angmar est l’un des endroits les plus sinistres de toutes</w:t>
      </w:r>
      <w:r>
        <w:t xml:space="preserve"> </w:t>
      </w:r>
      <w:r>
        <w:t xml:space="preserve">les Terres du Milieu. Elle n’est pas aussi obscure et pervertie que le</w:t>
      </w:r>
      <w:r>
        <w:t xml:space="preserve"> </w:t>
      </w:r>
      <w:r>
        <w:t xml:space="preserve">Mordor mais est froide et désolée à fendre l’âme. Elle est située entre</w:t>
      </w:r>
      <w:r>
        <w:t xml:space="preserve"> </w:t>
      </w:r>
      <w:r>
        <w:t xml:space="preserve">deux éperons rocheux au nord de la partie Ouest des Monts Brumeux, et</w:t>
      </w:r>
      <w:r>
        <w:t xml:space="preserve"> </w:t>
      </w:r>
      <w:r>
        <w:t xml:space="preserve">dans la partie Est des Monts Brumeux. Il y a peu d’activité dans la</w:t>
      </w:r>
      <w:r>
        <w:t xml:space="preserve"> </w:t>
      </w:r>
      <w:r>
        <w:t xml:space="preserve">plaine désolée entre les deux éperons rocheux de la montagne les hommes</w:t>
      </w:r>
      <w:r>
        <w:t xml:space="preserve"> </w:t>
      </w:r>
      <w:r>
        <w:t xml:space="preserve">de la garde frontalière sont cantonnés dans les collines à la lisière du</w:t>
      </w:r>
      <w:r>
        <w:t xml:space="preserve"> </w:t>
      </w:r>
      <w:r>
        <w:t xml:space="preserve">bas plateau. Ces hommes surveillent la longue route frontalière qui va</w:t>
      </w:r>
      <w:r>
        <w:t xml:space="preserve"> </w:t>
      </w:r>
      <w:r>
        <w:t xml:space="preserve">de Carn Dûm jusqu’à l’extrémité sud d’Angmar. Les orques préfèrent la</w:t>
      </w:r>
      <w:r>
        <w:t xml:space="preserve"> </w:t>
      </w:r>
      <w:r>
        <w:t xml:space="preserve">sécurité des tunnels dans la montagne. À l’Est, le Roi-Sorcier n’a</w:t>
      </w:r>
      <w:r>
        <w:t xml:space="preserve"> </w:t>
      </w:r>
      <w:r>
        <w:t xml:space="preserve">aucune garde frontalière ; les montagnes empêchent l’entrée en Angmar de</w:t>
      </w:r>
      <w:r>
        <w:t xml:space="preserve"> </w:t>
      </w:r>
      <w:r>
        <w:t xml:space="preserve">cette direction, à l’exception de ceux qui connaissent tes tunnels des</w:t>
      </w:r>
      <w:r>
        <w:t xml:space="preserve"> </w:t>
      </w:r>
      <w:r>
        <w:t xml:space="preserve">orques.</w:t>
      </w:r>
    </w:p>
    <w:bookmarkEnd w:id="21"/>
    <w:bookmarkStart w:id="52" w:name="cartes"/>
    <w:p>
      <w:pPr>
        <w:pStyle w:val="Titre2"/>
      </w:pPr>
      <w:r>
        <w:t xml:space="preserve">2.3 Cartes</w:t>
      </w:r>
    </w:p>
    <w:bookmarkStart w:id="25" w:name="Xd9233abb292c34b639f20b0b373c5b0a211804d"/>
    <w:p>
      <w:pPr>
        <w:pStyle w:val="Titre3"/>
      </w:pPr>
      <w:r>
        <w:t xml:space="preserve">Carte I - Arnor au</w:t>
      </w:r>
      <w:r>
        <w:t xml:space="preserve"> </w:t>
      </w:r>
      <w:r>
        <w:t xml:space="preserve">Troisième Âge 1600-1700</w:t>
      </w:r>
    </w:p>
    <w:p>
      <w:pPr>
        <w:pStyle w:val="Figure"/>
      </w:pPr>
      <w:r>
        <w:drawing>
          <wp:inline>
            <wp:extent cx="4229100" cy="3073400"/>
            <wp:effectExtent b="0" l="0" r="0" t="0"/>
            <wp:docPr descr="" title="" id="23" name="Picture"/>
            <a:graphic>
              <a:graphicData uri="http://schemas.openxmlformats.org/drawingml/2006/picture">
                <pic:pic>
                  <pic:nvPicPr>
                    <pic:cNvPr descr="images/page-17.png" id="24" name="Picture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73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  <w:pStyle w:val="Compact"/>
      </w:pPr>
      <w:r>
        <w:t xml:space="preserve">Arthedain</w:t>
      </w:r>
    </w:p>
    <w:p>
      <w:pPr>
        <w:numPr>
          <w:ilvl w:val="0"/>
          <w:numId w:val="1001"/>
        </w:numPr>
        <w:pStyle w:val="Compact"/>
      </w:pPr>
      <w:r>
        <w:t xml:space="preserve">Angmar</w:t>
      </w:r>
    </w:p>
    <w:p>
      <w:pPr>
        <w:numPr>
          <w:ilvl w:val="0"/>
          <w:numId w:val="1001"/>
        </w:numPr>
        <w:pStyle w:val="Compact"/>
      </w:pPr>
      <w:r>
        <w:t xml:space="preserve">No Man’s Land (Rhudaur)</w:t>
      </w:r>
    </w:p>
    <w:p>
      <w:pPr>
        <w:numPr>
          <w:ilvl w:val="0"/>
          <w:numId w:val="1001"/>
        </w:numPr>
        <w:pStyle w:val="Compact"/>
      </w:pPr>
      <w:r>
        <w:t xml:space="preserve">Cardolan</w:t>
      </w:r>
    </w:p>
    <w:p>
      <w:pPr>
        <w:numPr>
          <w:ilvl w:val="0"/>
          <w:numId w:val="1001"/>
        </w:numPr>
        <w:pStyle w:val="Compact"/>
      </w:pPr>
      <w:r>
        <w:t xml:space="preserve">Gondor</w:t>
      </w:r>
    </w:p>
    <w:p>
      <w:pPr>
        <w:numPr>
          <w:ilvl w:val="0"/>
          <w:numId w:val="1001"/>
        </w:numPr>
        <w:pStyle w:val="Compact"/>
      </w:pPr>
      <w:r>
        <w:t xml:space="preserve">Harondor</w:t>
      </w:r>
    </w:p>
    <w:p>
      <w:pPr>
        <w:numPr>
          <w:ilvl w:val="0"/>
          <w:numId w:val="1001"/>
        </w:numPr>
        <w:pStyle w:val="Compact"/>
      </w:pPr>
      <w:r>
        <w:t xml:space="preserve">Umbar</w:t>
      </w:r>
    </w:p>
    <w:p>
      <w:pPr>
        <w:pStyle w:val="FirstParagraph"/>
      </w:pPr>
      <w:r>
        <w:t xml:space="preserve">Cardolan n’est plus un royaume viable et Harondor est contesté par</w:t>
      </w:r>
      <w:r>
        <w:t xml:space="preserve"> </w:t>
      </w:r>
      <w:r>
        <w:t xml:space="preserve">Gondor et les Corsaires d’Umbar.</w:t>
      </w:r>
    </w:p>
    <w:bookmarkEnd w:id="25"/>
    <w:bookmarkStart w:id="29" w:name="carte-ii---angmar-au-troisième-âge"/>
    <w:p>
      <w:pPr>
        <w:pStyle w:val="Titre3"/>
      </w:pPr>
      <w:r>
        <w:t xml:space="preserve">Carte II - Angmar au</w:t>
      </w:r>
      <w:r>
        <w:t xml:space="preserve"> </w:t>
      </w:r>
      <w:r>
        <w:t xml:space="preserve">Troisième Âge</w:t>
      </w:r>
    </w:p>
    <w:p>
      <w:pPr>
        <w:pStyle w:val="Figure"/>
      </w:pPr>
      <w:r>
        <w:drawing>
          <wp:inline>
            <wp:extent cx="5943600" cy="4538960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images/page-04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3896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9"/>
    <w:bookmarkStart w:id="33" w:name="carte-iii---carte-de-référence-du-mj"/>
    <w:p>
      <w:pPr>
        <w:pStyle w:val="Titre3"/>
      </w:pPr>
      <w:r>
        <w:t xml:space="preserve">Carte III - Carte de</w:t>
      </w:r>
      <w:r>
        <w:t xml:space="preserve"> </w:t>
      </w:r>
      <w:r>
        <w:t xml:space="preserve">référence du MJ</w:t>
      </w:r>
    </w:p>
    <w:p>
      <w:pPr>
        <w:pStyle w:val="Figure"/>
      </w:pPr>
      <w:r>
        <w:drawing>
          <wp:inline>
            <wp:extent cx="5943600" cy="4316989"/>
            <wp:effectExtent b="0" l="0" r="0" t="0"/>
            <wp:docPr descr="" title="" id="31" name="Picture"/>
            <a:graphic>
              <a:graphicData uri="http://schemas.openxmlformats.org/drawingml/2006/picture">
                <pic:pic>
                  <pic:nvPicPr>
                    <pic:cNvPr descr="images/page-15.pn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698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3"/>
    <w:bookmarkStart w:id="37" w:name="carte-vii---carte-dun-voyageur"/>
    <w:p>
      <w:pPr>
        <w:pStyle w:val="Titre3"/>
      </w:pPr>
      <w:r>
        <w:t xml:space="preserve">Carte VII - Carte d’un</w:t>
      </w:r>
      <w:r>
        <w:t xml:space="preserve"> </w:t>
      </w:r>
      <w:r>
        <w:t xml:space="preserve">voyageur</w:t>
      </w:r>
    </w:p>
    <w:p>
      <w:pPr>
        <w:pStyle w:val="Figure"/>
      </w:pPr>
      <w:r>
        <w:drawing>
          <wp:inline>
            <wp:extent cx="5943600" cy="4412501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page-43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1250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7"/>
    <w:bookmarkStart w:id="41" w:name="plan-de-carn-dûm"/>
    <w:p>
      <w:pPr>
        <w:pStyle w:val="Titre3"/>
      </w:pPr>
      <w:r>
        <w:t xml:space="preserve">Plan de Carn Dûm</w:t>
      </w:r>
    </w:p>
    <w:p>
      <w:pPr>
        <w:pStyle w:val="Figure"/>
      </w:pPr>
      <w:r>
        <w:drawing>
          <wp:inline>
            <wp:extent cx="5943600" cy="4481348"/>
            <wp:effectExtent b="0" l="0" r="0" t="0"/>
            <wp:docPr descr="" title="" id="39" name="Picture"/>
            <a:graphic>
              <a:graphicData uri="http://schemas.openxmlformats.org/drawingml/2006/picture">
                <pic:pic>
                  <pic:nvPicPr>
                    <pic:cNvPr descr="images/page-02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134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1"/>
    <w:bookmarkStart w:id="51" w:name="légende-des-cartes"/>
    <w:p>
      <w:pPr>
        <w:pStyle w:val="Titre3"/>
      </w:pPr>
      <w:r>
        <w:t xml:space="preserve">Légende des cartes</w:t>
      </w:r>
    </w:p>
    <w:p>
      <w:pPr>
        <w:pStyle w:val="FirstParagraph"/>
      </w:pPr>
      <w:r>
        <w:t xml:space="preserve">Une variété de cartes et plans a été fournie au MJ afin de lui</w:t>
      </w:r>
      <w:r>
        <w:t xml:space="preserve"> </w:t>
      </w:r>
      <w:r>
        <w:t xml:space="preserve">procurer une trame au sein de laquelle il pourra travailler.</w:t>
      </w:r>
      <w:r>
        <w:t xml:space="preserve"> </w:t>
      </w:r>
      <w:r>
        <w:t xml:space="preserve">Rappelez-vous que la précision d’une représentation graphique dépendra</w:t>
      </w:r>
      <w:r>
        <w:t xml:space="preserve"> </w:t>
      </w:r>
      <w:r>
        <w:t xml:space="preserve">un tant soit peu de l’échelle utilisée plus la région couverte est</w:t>
      </w:r>
      <w:r>
        <w:t xml:space="preserve"> </w:t>
      </w:r>
      <w:r>
        <w:t xml:space="preserve">petite, plus la région est à une dimension de vie réelle, plus</w:t>
      </w:r>
      <w:r>
        <w:t xml:space="preserve"> </w:t>
      </w:r>
      <w:r>
        <w:t xml:space="preserve">l’illustration est précise. Si l’échelle est de 2,5 cm pour 32 km (comme</w:t>
      </w:r>
      <w:r>
        <w:t xml:space="preserve"> </w:t>
      </w:r>
      <w:r>
        <w:t xml:space="preserve">c’est le cas pour la carte en couleurs), le facteur de précision est</w:t>
      </w:r>
      <w:r>
        <w:t xml:space="preserve"> </w:t>
      </w:r>
      <w:r>
        <w:t xml:space="preserve">plus grand que pour une carte dont l’échelle est de 2,5 cm pour 320 km.</w:t>
      </w:r>
      <w:r>
        <w:t xml:space="preserve"> </w:t>
      </w:r>
      <w:r>
        <w:t xml:space="preserve">Les notes suivantes sont précieuses pour la légende des cartes et plans</w:t>
      </w:r>
      <w:r>
        <w:t xml:space="preserve"> </w:t>
      </w:r>
      <w:r>
        <w:t xml:space="preserve">de ce module.</w:t>
      </w:r>
    </w:p>
    <w:bookmarkStart w:id="45" w:name="légende-de-la-carte-en-couleurs"/>
    <w:p>
      <w:pPr>
        <w:pStyle w:val="Titre4"/>
      </w:pPr>
      <w:r>
        <w:t xml:space="preserve">Légende de la carte en</w:t>
      </w:r>
      <w:r>
        <w:t xml:space="preserve"> </w:t>
      </w:r>
      <w:r>
        <w:t xml:space="preserve">couleurs</w:t>
      </w:r>
    </w:p>
    <w:p>
      <w:pPr>
        <w:pStyle w:val="BlockText"/>
      </w:pPr>
      <w:r>
        <w:t xml:space="preserve">1) L’échelle est de 2,5 cm pour 32 km ;</w:t>
      </w:r>
    </w:p>
    <w:p>
      <w:pPr>
        <w:pStyle w:val="Figure"/>
      </w:pPr>
      <w:r>
        <w:drawing>
          <wp:inline>
            <wp:extent cx="5943600" cy="5495644"/>
            <wp:effectExtent b="0" l="0" r="0" t="0"/>
            <wp:docPr descr="" title="" id="43" name="Picture"/>
            <a:graphic>
              <a:graphicData uri="http://schemas.openxmlformats.org/drawingml/2006/picture">
                <pic:pic>
                  <pic:nvPicPr>
                    <pic:cNvPr descr="images/page-14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9564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est à noter que les symboles décrits sont applicables à toutes les</w:t>
      </w:r>
      <w:r>
        <w:t xml:space="preserve"> </w:t>
      </w:r>
      <w:r>
        <w:t xml:space="preserve">cartes de ce module, qu’elles soient en couleurs ou en noir et blanc.</w:t>
      </w:r>
      <w:r>
        <w:t xml:space="preserve"> </w:t>
      </w:r>
      <w:r>
        <w:t xml:space="preserve">L’échelle peut, cependant, ne pas être la même. Quand ce n’est pas</w:t>
      </w:r>
      <w:r>
        <w:t xml:space="preserve"> </w:t>
      </w:r>
      <w:r>
        <w:t xml:space="preserve">mentionné, le haut de la carte correspond au bord nord.</w:t>
      </w:r>
    </w:p>
    <w:bookmarkEnd w:id="45"/>
    <w:bookmarkStart w:id="49" w:name="légende-des-plans"/>
    <w:p>
      <w:pPr>
        <w:pStyle w:val="Titre4"/>
      </w:pPr>
      <w:r>
        <w:t xml:space="preserve">Légende des plans</w:t>
      </w:r>
    </w:p>
    <w:p>
      <w:pPr>
        <w:pStyle w:val="Figure"/>
      </w:pPr>
      <w:r>
        <w:drawing>
          <wp:inline>
            <wp:extent cx="5943600" cy="4620669"/>
            <wp:effectExtent b="0" l="0" r="0" t="0"/>
            <wp:docPr descr="" title="" id="47" name="Picture"/>
            <a:graphic>
              <a:graphicData uri="http://schemas.openxmlformats.org/drawingml/2006/picture">
                <pic:pic>
                  <pic:nvPicPr>
                    <pic:cNvPr descr="images/page-16.pn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066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9"/>
    <w:bookmarkStart w:id="50" w:name="légende-de-la-carte-du-mj"/>
    <w:p>
      <w:pPr>
        <w:pStyle w:val="Titre4"/>
      </w:pPr>
      <w:r>
        <w:t xml:space="preserve">Légende de la carte du MJ</w:t>
      </w:r>
    </w:p>
    <w:p>
      <w:pPr>
        <w:pStyle w:val="FirstParagraph"/>
      </w:pPr>
      <w:r>
        <w:rPr>
          <w:bCs/>
          <w:b/>
        </w:rPr>
        <w:t xml:space="preserve">Types d’arbres des hautes terres et combinaisons</w:t>
      </w:r>
      <w:r>
        <w:t xml:space="preserve"> </w:t>
      </w:r>
      <w:r>
        <w:t xml:space="preserve">:</w:t>
      </w:r>
      <w:r>
        <w:t xml:space="preserve"> </w:t>
      </w:r>
      <w:r>
        <w:t xml:space="preserve">Chêne-Noyer ; Chêne-Marronnier ; Orme-Frêne ; Peuplier-Sapin.</w:t>
      </w:r>
    </w:p>
    <w:p>
      <w:pPr>
        <w:pStyle w:val="Corpsdetexte"/>
      </w:pPr>
      <w:r>
        <w:t xml:space="preserve">Quelques Bouleaux, Épicéas et incursions de Conifères à Aiguilles,</w:t>
      </w:r>
      <w:r>
        <w:t xml:space="preserve"> </w:t>
      </w:r>
      <w:r>
        <w:t xml:space="preserve">tels que le Pin Sylvestre et le Genévrier.</w:t>
      </w:r>
    </w:p>
    <w:p>
      <w:pPr>
        <w:pStyle w:val="Corpsdetexte"/>
      </w:pPr>
      <w:r>
        <w:rPr>
          <w:bCs/>
          <w:b/>
        </w:rPr>
        <w:t xml:space="preserve">Types d’arbres des basses terres</w:t>
      </w:r>
      <w:r>
        <w:t xml:space="preserve"> </w:t>
      </w:r>
      <w:r>
        <w:t xml:space="preserve">: Chêne-Érable ;</w:t>
      </w:r>
      <w:r>
        <w:t xml:space="preserve"> </w:t>
      </w:r>
      <w:r>
        <w:t xml:space="preserve">Hêtre-Érable ; Saule-Orme.</w:t>
      </w:r>
    </w:p>
    <w:p>
      <w:pPr>
        <w:pStyle w:val="Corpsdetexte"/>
      </w:pPr>
      <w:r>
        <w:rPr>
          <w:bCs/>
          <w:b/>
        </w:rPr>
        <w:t xml:space="preserve">Cordière, des hautes terres</w:t>
      </w:r>
      <w:r>
        <w:t xml:space="preserve"> </w:t>
      </w:r>
      <w:r>
        <w:t xml:space="preserve">: Sapin, Genévrier, Pin</w:t>
      </w:r>
      <w:r>
        <w:t xml:space="preserve"> </w:t>
      </w:r>
      <w:r>
        <w:t xml:space="preserve">Sylvestre.</w:t>
      </w:r>
    </w:p>
    <w:p>
      <w:pPr>
        <w:pStyle w:val="Corpsdetexte"/>
      </w:pPr>
      <w:r>
        <w:t xml:space="preserve">De grandes incursions de Chênes sont présentes.</w:t>
      </w:r>
    </w:p>
    <w:p>
      <w:pPr>
        <w:pStyle w:val="Corpsdetexte"/>
      </w:pPr>
      <w:r>
        <w:rPr>
          <w:bCs/>
          <w:b/>
        </w:rPr>
        <w:t xml:space="preserve">Pins rabougris</w:t>
      </w:r>
      <w:r>
        <w:t xml:space="preserve"> </w:t>
      </w:r>
      <w:r>
        <w:t xml:space="preserve">: Hauts Épicéas et Pins Sylvestres de</w:t>
      </w:r>
      <w:r>
        <w:t xml:space="preserve"> </w:t>
      </w:r>
      <w:r>
        <w:t xml:space="preserve">1 à 6 m de haut.</w:t>
      </w:r>
    </w:p>
    <w:p>
      <w:pPr>
        <w:pStyle w:val="Corpsdetexte"/>
      </w:pPr>
      <w:r>
        <w:rPr>
          <w:bCs/>
          <w:b/>
        </w:rPr>
        <w:t xml:space="preserve">Sous-bois dense</w:t>
      </w:r>
      <w:r>
        <w:t xml:space="preserve"> </w:t>
      </w:r>
      <w:r>
        <w:t xml:space="preserve">: broussailles anormalement denses,</w:t>
      </w:r>
      <w:r>
        <w:t xml:space="preserve"> </w:t>
      </w:r>
      <w:r>
        <w:t xml:space="preserve">particulièrement dans les endroits peu éclairés à cause de</w:t>
      </w:r>
      <w:r>
        <w:t xml:space="preserve"> </w:t>
      </w:r>
      <w:r>
        <w:t xml:space="preserve">concentrations d’arbres touffus où la végétation du sous-bois ne peut</w:t>
      </w:r>
      <w:r>
        <w:t xml:space="preserve"> </w:t>
      </w:r>
      <w:r>
        <w:t xml:space="preserve">normalement se développer. Les abords des clairières sont</w:t>
      </w:r>
      <w:r>
        <w:t xml:space="preserve"> </w:t>
      </w:r>
      <w:r>
        <w:t xml:space="preserve">impénétrables.</w:t>
      </w:r>
    </w:p>
    <w:p>
      <w:pPr>
        <w:pStyle w:val="Corpsdetexte"/>
      </w:pPr>
      <w:r>
        <w:rPr>
          <w:bCs/>
          <w:b/>
        </w:rPr>
        <w:t xml:space="preserve">Peuples</w:t>
      </w:r>
      <w:r>
        <w:t xml:space="preserve"> </w:t>
      </w:r>
      <w:r>
        <w:t xml:space="preserve">: Elfes des Bois.</w:t>
      </w:r>
    </w:p>
    <w:p>
      <w:pPr>
        <w:pStyle w:val="Corpsdetexte"/>
      </w:pPr>
      <w:r>
        <w:rPr>
          <w:bCs/>
          <w:b/>
        </w:rPr>
        <w:t xml:space="preserve">Types d’Animaux</w:t>
      </w:r>
      <w:r>
        <w:t xml:space="preserve"> </w:t>
      </w:r>
      <w:r>
        <w:t xml:space="preserve">: Grands Aigles.</w:t>
      </w:r>
    </w:p>
    <w:p>
      <w:pPr>
        <w:pStyle w:val="Corpsdetexte"/>
      </w:pPr>
      <w:r>
        <w:rPr>
          <w:bCs/>
          <w:b/>
        </w:rPr>
        <w:t xml:space="preserve">Types d’Arbres</w:t>
      </w:r>
      <w:r>
        <w:t xml:space="preserve"> </w:t>
      </w:r>
      <w:r>
        <w:t xml:space="preserve">: Pins rabougris.</w:t>
      </w:r>
    </w:p>
    <w:bookmarkEnd w:id="50"/>
    <w:bookmarkEnd w:id="51"/>
    <w:bookmarkEnd w:id="52"/>
    <w:bookmarkEnd w:id="53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38" Target="media/rId38.png" /><Relationship Type="http://schemas.openxmlformats.org/officeDocument/2006/relationships/image" Id="rId26" Target="media/rId26.png" /><Relationship Type="http://schemas.openxmlformats.org/officeDocument/2006/relationships/image" Id="rId42" Target="media/rId42.png" /><Relationship Type="http://schemas.openxmlformats.org/officeDocument/2006/relationships/image" Id="rId30" Target="media/rId30.png" /><Relationship Type="http://schemas.openxmlformats.org/officeDocument/2006/relationships/image" Id="rId46" Target="media/rId46.png" /><Relationship Type="http://schemas.openxmlformats.org/officeDocument/2006/relationships/image" Id="rId22" Target="media/rId22.png" /><Relationship Type="http://schemas.openxmlformats.org/officeDocument/2006/relationships/image" Id="rId34" Target="media/rId34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 · Introduction</dc:title>
  <dc:creator/>
  <dc:language/>
  <cp:keywords/>
  <dcterms:created xsi:type="dcterms:W3CDTF">2023-11-24T06:06:17Z</dcterms:created>
  <dcterms:modified xsi:type="dcterms:W3CDTF">2023-11-24T06:06:17Z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